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669BE" w14:textId="77777777" w:rsidR="00494F90" w:rsidRDefault="00494F90" w:rsidP="00494F90">
      <w:pPr>
        <w:spacing w:after="0"/>
        <w:jc w:val="center"/>
        <w:rPr>
          <w:rFonts w:ascii="Cambria" w:hAnsi="Cambria"/>
          <w:b/>
          <w:bCs/>
          <w:sz w:val="20"/>
          <w:szCs w:val="20"/>
        </w:rPr>
      </w:pPr>
    </w:p>
    <w:p w14:paraId="7A2B0588" w14:textId="77777777" w:rsidR="00053B0B" w:rsidRDefault="00053B0B" w:rsidP="00053B0B">
      <w:pPr>
        <w:spacing w:after="0"/>
        <w:jc w:val="center"/>
        <w:rPr>
          <w:rFonts w:ascii="Cambria" w:hAnsi="Cambria"/>
          <w:b/>
          <w:bCs/>
          <w:sz w:val="48"/>
          <w:szCs w:val="48"/>
        </w:rPr>
      </w:pPr>
      <w:r w:rsidRPr="00053B0B">
        <w:rPr>
          <w:rFonts w:ascii="Cambria" w:hAnsi="Cambria"/>
          <w:b/>
          <w:bCs/>
          <w:sz w:val="48"/>
          <w:szCs w:val="48"/>
        </w:rPr>
        <w:t>Estra Energie: l'Assemblea dei Soci approva il bilancio d'esercizio 2025</w:t>
      </w:r>
    </w:p>
    <w:p w14:paraId="6BF0C699" w14:textId="3207550F" w:rsidR="00494F90" w:rsidRDefault="00053B0B" w:rsidP="00053B0B">
      <w:pPr>
        <w:jc w:val="center"/>
        <w:rPr>
          <w:rFonts w:ascii="Cambria" w:hAnsi="Cambria"/>
          <w:i/>
          <w:iCs/>
          <w:sz w:val="28"/>
          <w:szCs w:val="28"/>
        </w:rPr>
      </w:pPr>
      <w:r w:rsidRPr="00053B0B">
        <w:rPr>
          <w:rFonts w:ascii="Cambria" w:hAnsi="Cambria"/>
          <w:i/>
          <w:iCs/>
          <w:sz w:val="28"/>
          <w:szCs w:val="28"/>
        </w:rPr>
        <w:t xml:space="preserve">La società di vendita di gas naturale ed energia elettrica del Gruppo Estra registra un utile netto di 36,2 milioni di euro. Ricavi a </w:t>
      </w:r>
      <w:r w:rsidRPr="008B0252">
        <w:rPr>
          <w:rFonts w:ascii="Cambria" w:hAnsi="Cambria"/>
          <w:i/>
          <w:iCs/>
          <w:sz w:val="28"/>
          <w:szCs w:val="28"/>
        </w:rPr>
        <w:t>98</w:t>
      </w:r>
      <w:r w:rsidR="008B0252" w:rsidRPr="008B0252">
        <w:rPr>
          <w:rFonts w:ascii="Cambria" w:hAnsi="Cambria"/>
          <w:i/>
          <w:iCs/>
          <w:sz w:val="28"/>
          <w:szCs w:val="28"/>
        </w:rPr>
        <w:t>2</w:t>
      </w:r>
      <w:r w:rsidRPr="008B0252">
        <w:rPr>
          <w:rFonts w:ascii="Cambria" w:hAnsi="Cambria"/>
          <w:i/>
          <w:iCs/>
          <w:sz w:val="28"/>
          <w:szCs w:val="28"/>
        </w:rPr>
        <w:t>,</w:t>
      </w:r>
      <w:r w:rsidR="008B0252" w:rsidRPr="008B0252">
        <w:rPr>
          <w:rFonts w:ascii="Cambria" w:hAnsi="Cambria"/>
          <w:i/>
          <w:iCs/>
          <w:sz w:val="28"/>
          <w:szCs w:val="28"/>
        </w:rPr>
        <w:t>7</w:t>
      </w:r>
      <w:r w:rsidRPr="008B0252">
        <w:rPr>
          <w:rFonts w:ascii="Cambria" w:hAnsi="Cambria"/>
          <w:i/>
          <w:iCs/>
          <w:sz w:val="28"/>
          <w:szCs w:val="28"/>
        </w:rPr>
        <w:t xml:space="preserve"> milioni.</w:t>
      </w:r>
      <w:r w:rsidRPr="00053B0B">
        <w:rPr>
          <w:rFonts w:ascii="Cambria" w:hAnsi="Cambria"/>
          <w:i/>
          <w:iCs/>
          <w:sz w:val="28"/>
          <w:szCs w:val="28"/>
        </w:rPr>
        <w:t xml:space="preserve"> </w:t>
      </w:r>
      <w:r w:rsidR="005D13DB" w:rsidRPr="005D13DB">
        <w:rPr>
          <w:rFonts w:ascii="Cambria" w:hAnsi="Cambria"/>
          <w:i/>
          <w:iCs/>
          <w:sz w:val="28"/>
          <w:szCs w:val="28"/>
        </w:rPr>
        <w:t>EBITDA di 84,4 milioni di euro</w:t>
      </w:r>
      <w:r w:rsidR="005D13DB">
        <w:rPr>
          <w:rFonts w:ascii="Cambria" w:hAnsi="Cambria"/>
          <w:i/>
          <w:iCs/>
          <w:sz w:val="28"/>
          <w:szCs w:val="28"/>
        </w:rPr>
        <w:t>.</w:t>
      </w:r>
    </w:p>
    <w:p w14:paraId="11307589" w14:textId="3912A2F0" w:rsidR="00053B0B" w:rsidRPr="00053B0B" w:rsidRDefault="00E93E55" w:rsidP="00053B0B">
      <w:pPr>
        <w:jc w:val="both"/>
        <w:rPr>
          <w:rFonts w:ascii="Calibri" w:hAnsi="Calibri" w:cs="Calibri"/>
        </w:rPr>
      </w:pPr>
      <w:r>
        <w:rPr>
          <w:rFonts w:cs="Calibri"/>
        </w:rPr>
        <w:t>1</w:t>
      </w:r>
      <w:r w:rsidR="003B6993">
        <w:rPr>
          <w:rFonts w:cs="Calibri"/>
        </w:rPr>
        <w:t>9</w:t>
      </w:r>
      <w:r>
        <w:rPr>
          <w:rFonts w:cs="Calibri"/>
        </w:rPr>
        <w:t xml:space="preserve"> maggio </w:t>
      </w:r>
      <w:r w:rsidR="00806C94" w:rsidRPr="00806C94">
        <w:rPr>
          <w:rFonts w:cs="Calibri"/>
        </w:rPr>
        <w:t>202</w:t>
      </w:r>
      <w:r>
        <w:rPr>
          <w:rFonts w:cs="Calibri"/>
        </w:rPr>
        <w:t>6</w:t>
      </w:r>
      <w:r w:rsidR="00806C94" w:rsidRPr="00806C94">
        <w:rPr>
          <w:rFonts w:cs="Calibri"/>
        </w:rPr>
        <w:t xml:space="preserve"> –</w:t>
      </w:r>
      <w:r w:rsidR="00806C94">
        <w:rPr>
          <w:rFonts w:ascii="Calibri" w:hAnsi="Calibri" w:cs="Calibri"/>
        </w:rPr>
        <w:t xml:space="preserve"> </w:t>
      </w:r>
      <w:r w:rsidR="00053B0B" w:rsidRPr="00053B0B">
        <w:rPr>
          <w:rFonts w:ascii="Calibri" w:hAnsi="Calibri" w:cs="Calibri"/>
        </w:rPr>
        <w:t xml:space="preserve">L'Assemblea dei Soci di Estra Energie, società di vendita di gas naturale ed energia elettrica del Gruppo Estra, ha approvato il bilancio d'esercizio al 31 dicembre 2025, che si chiude con un </w:t>
      </w:r>
      <w:r w:rsidR="00053B0B" w:rsidRPr="0060578B">
        <w:rPr>
          <w:rFonts w:ascii="Calibri" w:hAnsi="Calibri" w:cs="Calibri"/>
          <w:b/>
          <w:bCs/>
        </w:rPr>
        <w:t>utile netto di 36,2 milioni di euro</w:t>
      </w:r>
      <w:r w:rsidR="005A1E85">
        <w:rPr>
          <w:rFonts w:ascii="Calibri" w:hAnsi="Calibri" w:cs="Calibri"/>
        </w:rPr>
        <w:t xml:space="preserve">, </w:t>
      </w:r>
      <w:r w:rsidR="005A1E85" w:rsidRPr="000C3835">
        <w:rPr>
          <w:rFonts w:ascii="Calibri" w:hAnsi="Calibri" w:cs="Calibri"/>
        </w:rPr>
        <w:t>sostanzialmente in linea con il precedente esercizio.</w:t>
      </w:r>
      <w:r w:rsidR="005A1E85">
        <w:rPr>
          <w:rFonts w:ascii="Calibri" w:hAnsi="Calibri" w:cs="Calibri"/>
        </w:rPr>
        <w:t xml:space="preserve"> </w:t>
      </w:r>
    </w:p>
    <w:p w14:paraId="4C060C73" w14:textId="333691E7" w:rsidR="00C45F2C" w:rsidRPr="00053B0B" w:rsidRDefault="00053B0B" w:rsidP="00053B0B">
      <w:pPr>
        <w:jc w:val="both"/>
        <w:rPr>
          <w:rFonts w:ascii="Calibri" w:hAnsi="Calibri" w:cs="Calibri"/>
        </w:rPr>
      </w:pPr>
      <w:r w:rsidRPr="00053B0B">
        <w:rPr>
          <w:rFonts w:ascii="Calibri" w:hAnsi="Calibri" w:cs="Calibri"/>
        </w:rPr>
        <w:t xml:space="preserve">Nel corso del 2025 Estra Energie ha generato </w:t>
      </w:r>
      <w:r w:rsidRPr="0060578B">
        <w:rPr>
          <w:rFonts w:ascii="Calibri" w:hAnsi="Calibri" w:cs="Calibri"/>
          <w:b/>
          <w:bCs/>
        </w:rPr>
        <w:t>ricavi complessivi per 982,7 milioni di euro</w:t>
      </w:r>
      <w:r w:rsidRPr="00053B0B">
        <w:rPr>
          <w:rFonts w:ascii="Calibri" w:hAnsi="Calibri" w:cs="Calibri"/>
        </w:rPr>
        <w:t xml:space="preserve">, con un </w:t>
      </w:r>
      <w:r w:rsidRPr="0060578B">
        <w:rPr>
          <w:rFonts w:ascii="Calibri" w:hAnsi="Calibri" w:cs="Calibri"/>
          <w:b/>
          <w:bCs/>
        </w:rPr>
        <w:t>EBITDA di 84,4 milioni di euro</w:t>
      </w:r>
      <w:r w:rsidRPr="00053B0B">
        <w:rPr>
          <w:rFonts w:ascii="Calibri" w:hAnsi="Calibri" w:cs="Calibri"/>
        </w:rPr>
        <w:t xml:space="preserve"> e un </w:t>
      </w:r>
      <w:r w:rsidRPr="0060578B">
        <w:rPr>
          <w:rFonts w:ascii="Calibri" w:hAnsi="Calibri" w:cs="Calibri"/>
          <w:b/>
          <w:bCs/>
        </w:rPr>
        <w:t>EBIT di 49,4 milioni di euro</w:t>
      </w:r>
      <w:r w:rsidRPr="00053B0B">
        <w:rPr>
          <w:rFonts w:ascii="Calibri" w:hAnsi="Calibri" w:cs="Calibri"/>
        </w:rPr>
        <w:t xml:space="preserve">. </w:t>
      </w:r>
      <w:r w:rsidR="00C45F2C">
        <w:rPr>
          <w:rFonts w:ascii="Calibri" w:hAnsi="Calibri" w:cs="Calibri"/>
        </w:rPr>
        <w:t xml:space="preserve">Risultati che dimostrano la capacità della Società di continuare a generare valore in un contesto caratterizzato da instabilità e volatilità. </w:t>
      </w:r>
    </w:p>
    <w:p w14:paraId="353D7F29" w14:textId="4791198E" w:rsidR="00C45F2C" w:rsidRDefault="00053B0B" w:rsidP="00053B0B">
      <w:pPr>
        <w:jc w:val="both"/>
        <w:rPr>
          <w:rFonts w:ascii="Calibri" w:hAnsi="Calibri" w:cs="Calibri"/>
        </w:rPr>
      </w:pPr>
      <w:r w:rsidRPr="00053B0B">
        <w:rPr>
          <w:rFonts w:ascii="Calibri" w:hAnsi="Calibri" w:cs="Calibri"/>
        </w:rPr>
        <w:t>Nel corso dell</w:t>
      </w:r>
      <w:r w:rsidR="005D13DB">
        <w:rPr>
          <w:rFonts w:ascii="Calibri" w:hAnsi="Calibri" w:cs="Calibri"/>
        </w:rPr>
        <w:t>’</w:t>
      </w:r>
      <w:r w:rsidRPr="00053B0B">
        <w:rPr>
          <w:rFonts w:ascii="Calibri" w:hAnsi="Calibri" w:cs="Calibri"/>
        </w:rPr>
        <w:t xml:space="preserve">anno la società ha </w:t>
      </w:r>
      <w:r w:rsidRPr="0060578B">
        <w:rPr>
          <w:rFonts w:ascii="Calibri" w:hAnsi="Calibri" w:cs="Calibri"/>
          <w:b/>
          <w:bCs/>
        </w:rPr>
        <w:t>venduto circa 891 milioni di metri cubi di gas naturale e oltre 1.046 GWh di energia elettrica</w:t>
      </w:r>
      <w:r w:rsidRPr="00053B0B">
        <w:rPr>
          <w:rFonts w:ascii="Calibri" w:hAnsi="Calibri" w:cs="Calibri"/>
        </w:rPr>
        <w:t xml:space="preserve">. </w:t>
      </w:r>
    </w:p>
    <w:p w14:paraId="76CA5DDF" w14:textId="0E462D1E" w:rsidR="00053B0B" w:rsidRPr="00053B0B" w:rsidRDefault="00053B0B" w:rsidP="00053B0B">
      <w:pPr>
        <w:jc w:val="both"/>
        <w:rPr>
          <w:rFonts w:ascii="Calibri" w:hAnsi="Calibri" w:cs="Calibri"/>
        </w:rPr>
      </w:pPr>
      <w:r w:rsidRPr="00053B0B">
        <w:rPr>
          <w:rFonts w:ascii="Calibri" w:hAnsi="Calibri" w:cs="Calibri"/>
        </w:rPr>
        <w:t>Al 31 dicembre 2025, i clienti finali serviti ammontano a circa 707.000, tra mercato libero e tutele graduali, su tutto il territorio nazionale con una presenza consolidata nell'Italia centrale.</w:t>
      </w:r>
      <w:r w:rsidR="000F1135">
        <w:rPr>
          <w:rFonts w:ascii="Calibri" w:hAnsi="Calibri" w:cs="Calibri"/>
        </w:rPr>
        <w:t xml:space="preserve"> </w:t>
      </w:r>
    </w:p>
    <w:p w14:paraId="1E7698F0" w14:textId="4C02460D" w:rsidR="005A1E85" w:rsidRPr="00053B0B" w:rsidRDefault="005A1E85" w:rsidP="00053B0B">
      <w:pPr>
        <w:jc w:val="both"/>
        <w:rPr>
          <w:rFonts w:ascii="Calibri" w:hAnsi="Calibri" w:cs="Calibri"/>
        </w:rPr>
      </w:pPr>
      <w:r>
        <w:rPr>
          <w:rFonts w:ascii="Calibri" w:hAnsi="Calibri" w:cs="Calibri"/>
        </w:rPr>
        <w:t>Sul fronte societario</w:t>
      </w:r>
      <w:r w:rsidR="00053B0B" w:rsidRPr="00053B0B">
        <w:rPr>
          <w:rFonts w:ascii="Calibri" w:hAnsi="Calibri" w:cs="Calibri"/>
        </w:rPr>
        <w:t xml:space="preserve">, nel 2025 </w:t>
      </w:r>
      <w:r>
        <w:rPr>
          <w:rFonts w:ascii="Calibri" w:hAnsi="Calibri" w:cs="Calibri"/>
        </w:rPr>
        <w:t>Estra Energie ha</w:t>
      </w:r>
      <w:r w:rsidR="00053B0B" w:rsidRPr="00053B0B">
        <w:rPr>
          <w:rFonts w:ascii="Calibri" w:hAnsi="Calibri" w:cs="Calibri"/>
        </w:rPr>
        <w:t xml:space="preserve"> sottoscritto il primo </w:t>
      </w:r>
      <w:r w:rsidRPr="005A1E85">
        <w:rPr>
          <w:rFonts w:ascii="Calibri" w:hAnsi="Calibri" w:cs="Calibri"/>
          <w:b/>
          <w:bCs/>
        </w:rPr>
        <w:t>Corporate Power Purchase Agreement</w:t>
      </w:r>
      <w:r>
        <w:rPr>
          <w:rFonts w:ascii="Calibri" w:hAnsi="Calibri" w:cs="Calibri"/>
        </w:rPr>
        <w:t>, della</w:t>
      </w:r>
      <w:r w:rsidR="00053B0B" w:rsidRPr="00053B0B">
        <w:rPr>
          <w:rFonts w:ascii="Calibri" w:hAnsi="Calibri" w:cs="Calibri"/>
        </w:rPr>
        <w:t xml:space="preserve"> durata di cinque anni, per l</w:t>
      </w:r>
      <w:r w:rsidR="005D13DB">
        <w:rPr>
          <w:rFonts w:ascii="Calibri" w:hAnsi="Calibri" w:cs="Calibri"/>
        </w:rPr>
        <w:t>’</w:t>
      </w:r>
      <w:r w:rsidR="00053B0B" w:rsidRPr="00053B0B">
        <w:rPr>
          <w:rFonts w:ascii="Calibri" w:hAnsi="Calibri" w:cs="Calibri"/>
        </w:rPr>
        <w:t>approvvigionamento di energia rinnovabile</w:t>
      </w:r>
      <w:r>
        <w:rPr>
          <w:rFonts w:ascii="Calibri" w:hAnsi="Calibri" w:cs="Calibri"/>
        </w:rPr>
        <w:t xml:space="preserve">. </w:t>
      </w:r>
      <w:r w:rsidRPr="005A1E85">
        <w:rPr>
          <w:rFonts w:ascii="Calibri" w:hAnsi="Calibri" w:cs="Calibri"/>
        </w:rPr>
        <w:t>Il CPPA, valido per il periodo 2026–2030, prevede la </w:t>
      </w:r>
      <w:r w:rsidRPr="005A1E85">
        <w:rPr>
          <w:rFonts w:ascii="Calibri" w:hAnsi="Calibri" w:cs="Calibri"/>
          <w:b/>
          <w:bCs/>
        </w:rPr>
        <w:t>fornitura di 10 GWh di energia elettrica rinnovabile all’anno</w:t>
      </w:r>
      <w:r w:rsidRPr="005A1E85">
        <w:rPr>
          <w:rFonts w:ascii="Calibri" w:hAnsi="Calibri" w:cs="Calibri"/>
        </w:rPr>
        <w:t> a prezzo fisso</w:t>
      </w:r>
      <w:r w:rsidR="00C45F2C">
        <w:rPr>
          <w:rFonts w:ascii="Calibri" w:hAnsi="Calibri" w:cs="Calibri"/>
        </w:rPr>
        <w:t xml:space="preserve">, destinate al soddisfacimento del fabbisogno energetico di </w:t>
      </w:r>
      <w:r w:rsidR="00C45F2C" w:rsidRPr="00C45F2C">
        <w:rPr>
          <w:rFonts w:ascii="Calibri" w:hAnsi="Calibri" w:cs="Calibri"/>
        </w:rPr>
        <w:t xml:space="preserve">Alia e </w:t>
      </w:r>
      <w:proofErr w:type="spellStart"/>
      <w:r w:rsidR="00C45F2C" w:rsidRPr="00C45F2C">
        <w:rPr>
          <w:rFonts w:ascii="Calibri" w:hAnsi="Calibri" w:cs="Calibri"/>
        </w:rPr>
        <w:t>Revet</w:t>
      </w:r>
      <w:proofErr w:type="spellEnd"/>
      <w:r w:rsidR="00C45F2C" w:rsidRPr="00C45F2C">
        <w:rPr>
          <w:rFonts w:ascii="Calibri" w:hAnsi="Calibri" w:cs="Calibri"/>
        </w:rPr>
        <w:t xml:space="preserve">, società appartenenti alla multiutility </w:t>
      </w:r>
      <w:proofErr w:type="spellStart"/>
      <w:r w:rsidR="00C45F2C" w:rsidRPr="00C45F2C">
        <w:rPr>
          <w:rFonts w:ascii="Calibri" w:hAnsi="Calibri" w:cs="Calibri"/>
        </w:rPr>
        <w:t>Plures</w:t>
      </w:r>
      <w:proofErr w:type="spellEnd"/>
      <w:r w:rsidR="00C45F2C" w:rsidRPr="00C45F2C">
        <w:rPr>
          <w:rFonts w:ascii="Calibri" w:hAnsi="Calibri" w:cs="Calibri"/>
        </w:rPr>
        <w:t xml:space="preserve">, di cui </w:t>
      </w:r>
      <w:r w:rsidR="00C45F2C">
        <w:rPr>
          <w:rFonts w:ascii="Calibri" w:hAnsi="Calibri" w:cs="Calibri"/>
        </w:rPr>
        <w:t xml:space="preserve">il Gruppo </w:t>
      </w:r>
      <w:r w:rsidR="00C45F2C" w:rsidRPr="00C45F2C">
        <w:rPr>
          <w:rFonts w:ascii="Calibri" w:hAnsi="Calibri" w:cs="Calibri"/>
        </w:rPr>
        <w:t>Estra rappresenta l’attore industriale di riferimento nel settore energetico</w:t>
      </w:r>
      <w:r w:rsidR="00C45F2C">
        <w:rPr>
          <w:rFonts w:ascii="Calibri" w:hAnsi="Calibri" w:cs="Calibri"/>
        </w:rPr>
        <w:t xml:space="preserve">. </w:t>
      </w:r>
    </w:p>
    <w:p w14:paraId="71C279D8" w14:textId="5E1DF2F6" w:rsidR="00E42E20" w:rsidRDefault="00C45F2C" w:rsidP="00E42E20">
      <w:pPr>
        <w:jc w:val="both"/>
        <w:rPr>
          <w:rFonts w:ascii="Calibri" w:hAnsi="Calibri" w:cs="Calibri"/>
        </w:rPr>
      </w:pPr>
      <w:r w:rsidRPr="00C45F2C">
        <w:rPr>
          <w:rFonts w:ascii="Calibri" w:hAnsi="Calibri" w:cs="Calibri"/>
        </w:rPr>
        <w:t xml:space="preserve">“I risultati del 2025 confermano la solidità del nostro modello di business e la capacità di generare valore in un mercato sempre più competitivo e in continua evoluzione – </w:t>
      </w:r>
      <w:r w:rsidRPr="00C45F2C">
        <w:rPr>
          <w:rFonts w:ascii="Calibri" w:hAnsi="Calibri" w:cs="Calibri"/>
          <w:b/>
          <w:bCs/>
        </w:rPr>
        <w:t>dichiara Franco Scortecci, presidente di Estra Energie</w:t>
      </w:r>
      <w:r w:rsidRPr="00C45F2C">
        <w:rPr>
          <w:rFonts w:ascii="Calibri" w:hAnsi="Calibri" w:cs="Calibri"/>
        </w:rPr>
        <w:t xml:space="preserve"> – Il progressivo incremento dell’utilizzo di energia da fonti rinnovabili prodotta dagli impianti del Gruppo, insieme alla stipula di contratti PPA per energia rinnovabile, rappresenta un tassello rilevante della nostra strategia di approvvigionamento, orientata a stabilizzare le forniture e a contribuire alla sicurezza energetica dei territori in cui operiamo. Un percorso che rafforza il posizionamento di Estra Energie nel panorama energetico nazionale e accompagna la transizione verso un modello energetico sempre più sostenibile”</w:t>
      </w:r>
      <w:r w:rsidR="00E42E20">
        <w:rPr>
          <w:rFonts w:ascii="Calibri" w:hAnsi="Calibri" w:cs="Calibri"/>
        </w:rPr>
        <w:t>.</w:t>
      </w:r>
    </w:p>
    <w:p w14:paraId="2065D65A" w14:textId="72DF0B54" w:rsidR="00053B0B" w:rsidRDefault="00E42E20" w:rsidP="00E42E20">
      <w:pPr>
        <w:jc w:val="both"/>
        <w:rPr>
          <w:rFonts w:ascii="Calibri" w:hAnsi="Calibri" w:cs="Calibri"/>
        </w:rPr>
      </w:pPr>
      <w:r>
        <w:rPr>
          <w:rFonts w:ascii="Calibri" w:hAnsi="Calibri" w:cs="Calibri"/>
        </w:rPr>
        <w:t>“</w:t>
      </w:r>
      <w:r w:rsidRPr="00E42E20">
        <w:rPr>
          <w:rFonts w:ascii="Calibri" w:hAnsi="Calibri" w:cs="Calibri"/>
        </w:rPr>
        <w:t xml:space="preserve">Il 2025 ha confermato un positivo andamento della società anche in presenza di un contesto di mercato fortemente instabile – afferma </w:t>
      </w:r>
      <w:r w:rsidRPr="00E42E20">
        <w:rPr>
          <w:rFonts w:ascii="Calibri" w:hAnsi="Calibri" w:cs="Calibri"/>
          <w:b/>
          <w:bCs/>
        </w:rPr>
        <w:t>Fabio Cannari</w:t>
      </w:r>
      <w:r w:rsidRPr="00E42E20">
        <w:rPr>
          <w:rFonts w:ascii="Calibri" w:hAnsi="Calibri" w:cs="Calibri"/>
        </w:rPr>
        <w:t xml:space="preserve">, </w:t>
      </w:r>
      <w:r w:rsidRPr="00E42E20">
        <w:rPr>
          <w:rFonts w:ascii="Calibri" w:hAnsi="Calibri" w:cs="Calibri"/>
          <w:b/>
          <w:bCs/>
        </w:rPr>
        <w:t>Amministratore Delegato di Estra Energie</w:t>
      </w:r>
      <w:r w:rsidRPr="00E42E20">
        <w:rPr>
          <w:rFonts w:ascii="Calibri" w:hAnsi="Calibri" w:cs="Calibri"/>
        </w:rPr>
        <w:t xml:space="preserve"> –. Abbiamo gestito gli approvvigionamenti con attenzione e prudenza e continuato a investire nell’acquisizione, nell’innovazione tecnologica e nella fidelizzazione della clientela. Guardiamo al 2026 con determinazione, consapevoli delle incertezze geopolitiche e di mercato, ma forti di una struttura sempre più integrata e orientata alla soddisfazione dei clienti e al costante miglioramento della qualità del servizio”.</w:t>
      </w:r>
    </w:p>
    <w:sectPr w:rsidR="00053B0B" w:rsidSect="00494F90">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BCC37E" w14:textId="77777777" w:rsidR="008809F9" w:rsidRDefault="008809F9" w:rsidP="00494F90">
      <w:pPr>
        <w:spacing w:after="0" w:line="240" w:lineRule="auto"/>
      </w:pPr>
      <w:r>
        <w:separator/>
      </w:r>
    </w:p>
  </w:endnote>
  <w:endnote w:type="continuationSeparator" w:id="0">
    <w:p w14:paraId="32E6D3B5" w14:textId="77777777" w:rsidR="008809F9" w:rsidRDefault="008809F9" w:rsidP="00494F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6C0916" w14:textId="77777777" w:rsidR="008809F9" w:rsidRDefault="008809F9" w:rsidP="00494F90">
      <w:pPr>
        <w:spacing w:after="0" w:line="240" w:lineRule="auto"/>
      </w:pPr>
      <w:r>
        <w:separator/>
      </w:r>
    </w:p>
  </w:footnote>
  <w:footnote w:type="continuationSeparator" w:id="0">
    <w:p w14:paraId="528A38D8" w14:textId="77777777" w:rsidR="008809F9" w:rsidRDefault="008809F9" w:rsidP="00494F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EBD166" w14:textId="0342DD38" w:rsidR="00494F90" w:rsidRDefault="00053B0B" w:rsidP="00463892">
    <w:pPr>
      <w:pStyle w:val="Intestazione"/>
      <w:tabs>
        <w:tab w:val="clear" w:pos="9638"/>
        <w:tab w:val="left" w:pos="8196"/>
      </w:tabs>
    </w:pPr>
    <w:r>
      <w:rPr>
        <w:noProof/>
      </w:rPr>
      <w:drawing>
        <wp:anchor distT="0" distB="0" distL="114300" distR="114300" simplePos="0" relativeHeight="251657728" behindDoc="1" locked="0" layoutInCell="1" allowOverlap="1" wp14:anchorId="02976647" wp14:editId="372D4C71">
          <wp:simplePos x="0" y="0"/>
          <wp:positionH relativeFrom="margin">
            <wp:align>right</wp:align>
          </wp:positionH>
          <wp:positionV relativeFrom="paragraph">
            <wp:posOffset>-563880</wp:posOffset>
          </wp:positionV>
          <wp:extent cx="2847975" cy="1609725"/>
          <wp:effectExtent l="0" t="0" r="9525" b="9525"/>
          <wp:wrapNone/>
          <wp:docPr id="17488182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7975" cy="1609725"/>
                  </a:xfrm>
                  <a:prstGeom prst="rect">
                    <a:avLst/>
                  </a:prstGeom>
                  <a:noFill/>
                </pic:spPr>
              </pic:pic>
            </a:graphicData>
          </a:graphic>
          <wp14:sizeRelH relativeFrom="page">
            <wp14:pctWidth>0</wp14:pctWidth>
          </wp14:sizeRelH>
          <wp14:sizeRelV relativeFrom="page">
            <wp14:pctHeight>0</wp14:pctHeight>
          </wp14:sizeRelV>
        </wp:anchor>
      </w:drawing>
    </w:r>
    <w:r w:rsidR="00494F90">
      <w:rPr>
        <w:noProof/>
        <w:lang w:eastAsia="it-IT"/>
      </w:rPr>
      <w:drawing>
        <wp:inline distT="0" distB="0" distL="0" distR="0" wp14:anchorId="28898C82" wp14:editId="7C5688F0">
          <wp:extent cx="1798320" cy="475615"/>
          <wp:effectExtent l="0" t="0" r="0" b="635"/>
          <wp:docPr id="112563491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98320" cy="475615"/>
                  </a:xfrm>
                  <a:prstGeom prst="rect">
                    <a:avLst/>
                  </a:prstGeom>
                  <a:noFill/>
                </pic:spPr>
              </pic:pic>
            </a:graphicData>
          </a:graphic>
        </wp:inline>
      </w:drawing>
    </w:r>
    <w:r w:rsidR="00C71ED5">
      <w:t xml:space="preserve">                                                                      </w:t>
    </w:r>
    <w:r w:rsidR="00463892">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7806"/>
    <w:rsid w:val="000047F3"/>
    <w:rsid w:val="000379C2"/>
    <w:rsid w:val="000419ED"/>
    <w:rsid w:val="00053B0B"/>
    <w:rsid w:val="00085B1C"/>
    <w:rsid w:val="000C3835"/>
    <w:rsid w:val="000D44CE"/>
    <w:rsid w:val="000F1135"/>
    <w:rsid w:val="001030C5"/>
    <w:rsid w:val="00121D40"/>
    <w:rsid w:val="001327AF"/>
    <w:rsid w:val="001C7E31"/>
    <w:rsid w:val="00221A76"/>
    <w:rsid w:val="00253E1B"/>
    <w:rsid w:val="00275A38"/>
    <w:rsid w:val="002C0692"/>
    <w:rsid w:val="002C6337"/>
    <w:rsid w:val="002E3209"/>
    <w:rsid w:val="002E5841"/>
    <w:rsid w:val="002F1181"/>
    <w:rsid w:val="00344058"/>
    <w:rsid w:val="00395213"/>
    <w:rsid w:val="003B6993"/>
    <w:rsid w:val="00400CAE"/>
    <w:rsid w:val="004230F3"/>
    <w:rsid w:val="0044006C"/>
    <w:rsid w:val="004553EB"/>
    <w:rsid w:val="00463892"/>
    <w:rsid w:val="004729ED"/>
    <w:rsid w:val="00476403"/>
    <w:rsid w:val="00494F90"/>
    <w:rsid w:val="004D5C58"/>
    <w:rsid w:val="004E3D56"/>
    <w:rsid w:val="004E73DB"/>
    <w:rsid w:val="00502630"/>
    <w:rsid w:val="00556D8B"/>
    <w:rsid w:val="005A0C6C"/>
    <w:rsid w:val="005A1E85"/>
    <w:rsid w:val="005D13DB"/>
    <w:rsid w:val="0060578B"/>
    <w:rsid w:val="0063567D"/>
    <w:rsid w:val="00672BF0"/>
    <w:rsid w:val="006D26BA"/>
    <w:rsid w:val="006E501A"/>
    <w:rsid w:val="00806C94"/>
    <w:rsid w:val="0081666F"/>
    <w:rsid w:val="00817D62"/>
    <w:rsid w:val="00833975"/>
    <w:rsid w:val="008546C0"/>
    <w:rsid w:val="00865B19"/>
    <w:rsid w:val="008809F9"/>
    <w:rsid w:val="00891A10"/>
    <w:rsid w:val="008B0252"/>
    <w:rsid w:val="008C4241"/>
    <w:rsid w:val="008E4E4E"/>
    <w:rsid w:val="0090664A"/>
    <w:rsid w:val="009207FD"/>
    <w:rsid w:val="00920E3C"/>
    <w:rsid w:val="00994300"/>
    <w:rsid w:val="00A1670A"/>
    <w:rsid w:val="00A24D00"/>
    <w:rsid w:val="00A35014"/>
    <w:rsid w:val="00A6221F"/>
    <w:rsid w:val="00A677EB"/>
    <w:rsid w:val="00A843F6"/>
    <w:rsid w:val="00A87BB4"/>
    <w:rsid w:val="00A97084"/>
    <w:rsid w:val="00B33860"/>
    <w:rsid w:val="00BD2F64"/>
    <w:rsid w:val="00BD44CA"/>
    <w:rsid w:val="00BD7806"/>
    <w:rsid w:val="00C05412"/>
    <w:rsid w:val="00C0680A"/>
    <w:rsid w:val="00C07D09"/>
    <w:rsid w:val="00C1322D"/>
    <w:rsid w:val="00C26068"/>
    <w:rsid w:val="00C45F2C"/>
    <w:rsid w:val="00C71ED5"/>
    <w:rsid w:val="00C93DA4"/>
    <w:rsid w:val="00CA3FA1"/>
    <w:rsid w:val="00CD68D8"/>
    <w:rsid w:val="00CE442E"/>
    <w:rsid w:val="00CE7BF7"/>
    <w:rsid w:val="00D221A7"/>
    <w:rsid w:val="00D33BBD"/>
    <w:rsid w:val="00D50DA2"/>
    <w:rsid w:val="00D623D0"/>
    <w:rsid w:val="00D77357"/>
    <w:rsid w:val="00D8656F"/>
    <w:rsid w:val="00DB7DDF"/>
    <w:rsid w:val="00DD7377"/>
    <w:rsid w:val="00E155D2"/>
    <w:rsid w:val="00E42E20"/>
    <w:rsid w:val="00E75AA6"/>
    <w:rsid w:val="00E84F67"/>
    <w:rsid w:val="00E85651"/>
    <w:rsid w:val="00E93E55"/>
    <w:rsid w:val="00F01C70"/>
    <w:rsid w:val="00F27F46"/>
    <w:rsid w:val="00F56C6A"/>
    <w:rsid w:val="00F61BE8"/>
    <w:rsid w:val="00FB21E2"/>
    <w:rsid w:val="00FC427D"/>
    <w:rsid w:val="00FC4A70"/>
    <w:rsid w:val="00FE2EC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29AB6E"/>
  <w15:chartTrackingRefBased/>
  <w15:docId w15:val="{88772E53-181A-4D65-A9B4-1F002BB00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BD78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BD78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BD7806"/>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BD7806"/>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BD7806"/>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BD7806"/>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BD7806"/>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BD7806"/>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BD7806"/>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D7806"/>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BD7806"/>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BD7806"/>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BD7806"/>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BD7806"/>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BD7806"/>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D7806"/>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D7806"/>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D7806"/>
    <w:rPr>
      <w:rFonts w:eastAsiaTheme="majorEastAsia" w:cstheme="majorBidi"/>
      <w:color w:val="272727" w:themeColor="text1" w:themeTint="D8"/>
    </w:rPr>
  </w:style>
  <w:style w:type="paragraph" w:styleId="Titolo">
    <w:name w:val="Title"/>
    <w:basedOn w:val="Normale"/>
    <w:next w:val="Normale"/>
    <w:link w:val="TitoloCarattere"/>
    <w:uiPriority w:val="10"/>
    <w:qFormat/>
    <w:rsid w:val="00BD78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D7806"/>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D7806"/>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BD7806"/>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D7806"/>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BD7806"/>
    <w:rPr>
      <w:i/>
      <w:iCs/>
      <w:color w:val="404040" w:themeColor="text1" w:themeTint="BF"/>
    </w:rPr>
  </w:style>
  <w:style w:type="paragraph" w:styleId="Paragrafoelenco">
    <w:name w:val="List Paragraph"/>
    <w:basedOn w:val="Normale"/>
    <w:uiPriority w:val="34"/>
    <w:qFormat/>
    <w:rsid w:val="00BD7806"/>
    <w:pPr>
      <w:ind w:left="720"/>
      <w:contextualSpacing/>
    </w:pPr>
  </w:style>
  <w:style w:type="character" w:styleId="Enfasiintensa">
    <w:name w:val="Intense Emphasis"/>
    <w:basedOn w:val="Carpredefinitoparagrafo"/>
    <w:uiPriority w:val="21"/>
    <w:qFormat/>
    <w:rsid w:val="00BD7806"/>
    <w:rPr>
      <w:i/>
      <w:iCs/>
      <w:color w:val="0F4761" w:themeColor="accent1" w:themeShade="BF"/>
    </w:rPr>
  </w:style>
  <w:style w:type="paragraph" w:styleId="Citazioneintensa">
    <w:name w:val="Intense Quote"/>
    <w:basedOn w:val="Normale"/>
    <w:next w:val="Normale"/>
    <w:link w:val="CitazioneintensaCarattere"/>
    <w:uiPriority w:val="30"/>
    <w:qFormat/>
    <w:rsid w:val="00BD78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BD7806"/>
    <w:rPr>
      <w:i/>
      <w:iCs/>
      <w:color w:val="0F4761" w:themeColor="accent1" w:themeShade="BF"/>
    </w:rPr>
  </w:style>
  <w:style w:type="character" w:styleId="Riferimentointenso">
    <w:name w:val="Intense Reference"/>
    <w:basedOn w:val="Carpredefinitoparagrafo"/>
    <w:uiPriority w:val="32"/>
    <w:qFormat/>
    <w:rsid w:val="00BD7806"/>
    <w:rPr>
      <w:b/>
      <w:bCs/>
      <w:smallCaps/>
      <w:color w:val="0F4761" w:themeColor="accent1" w:themeShade="BF"/>
      <w:spacing w:val="5"/>
    </w:rPr>
  </w:style>
  <w:style w:type="paragraph" w:styleId="NormaleWeb">
    <w:name w:val="Normal (Web)"/>
    <w:basedOn w:val="Normale"/>
    <w:uiPriority w:val="99"/>
    <w:semiHidden/>
    <w:unhideWhenUsed/>
    <w:rsid w:val="00275A38"/>
    <w:pPr>
      <w:spacing w:before="100" w:beforeAutospacing="1" w:after="100" w:afterAutospacing="1" w:line="240" w:lineRule="auto"/>
    </w:pPr>
    <w:rPr>
      <w:rFonts w:ascii="Times New Roman" w:eastAsia="Times New Roman" w:hAnsi="Times New Roman" w:cs="Times New Roman"/>
      <w:kern w:val="0"/>
      <w:lang w:eastAsia="it-IT"/>
      <w14:ligatures w14:val="none"/>
    </w:rPr>
  </w:style>
  <w:style w:type="character" w:styleId="Enfasigrassetto">
    <w:name w:val="Strong"/>
    <w:basedOn w:val="Carpredefinitoparagrafo"/>
    <w:uiPriority w:val="22"/>
    <w:qFormat/>
    <w:rsid w:val="00275A38"/>
    <w:rPr>
      <w:b/>
      <w:bCs/>
    </w:rPr>
  </w:style>
  <w:style w:type="paragraph" w:styleId="Intestazione">
    <w:name w:val="header"/>
    <w:basedOn w:val="Normale"/>
    <w:link w:val="IntestazioneCarattere"/>
    <w:uiPriority w:val="99"/>
    <w:unhideWhenUsed/>
    <w:rsid w:val="00494F9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94F90"/>
  </w:style>
  <w:style w:type="paragraph" w:styleId="Pidipagina">
    <w:name w:val="footer"/>
    <w:basedOn w:val="Normale"/>
    <w:link w:val="PidipaginaCarattere"/>
    <w:uiPriority w:val="99"/>
    <w:unhideWhenUsed/>
    <w:rsid w:val="00494F9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94F90"/>
  </w:style>
  <w:style w:type="paragraph" w:customStyle="1" w:styleId="font-claude-response-body">
    <w:name w:val="font-claude-response-body"/>
    <w:basedOn w:val="Normale"/>
    <w:rsid w:val="00FC427D"/>
    <w:pPr>
      <w:spacing w:before="100" w:beforeAutospacing="1" w:after="100" w:afterAutospacing="1" w:line="240" w:lineRule="auto"/>
    </w:pPr>
    <w:rPr>
      <w:rFonts w:ascii="Times New Roman" w:eastAsia="Times New Roman" w:hAnsi="Times New Roman" w:cs="Times New Roman"/>
      <w:kern w:val="0"/>
      <w:lang w:eastAsia="it-IT"/>
      <w14:ligatures w14:val="none"/>
    </w:rPr>
  </w:style>
  <w:style w:type="character" w:styleId="Enfasicorsivo">
    <w:name w:val="Emphasis"/>
    <w:basedOn w:val="Carpredefinitoparagrafo"/>
    <w:uiPriority w:val="20"/>
    <w:qFormat/>
    <w:rsid w:val="00FC427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462</Words>
  <Characters>2638</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Tilli Lorenzo</dc:creator>
  <cp:keywords/>
  <dc:description/>
  <cp:lastModifiedBy>sara carletti</cp:lastModifiedBy>
  <cp:revision>2</cp:revision>
  <cp:lastPrinted>2026-05-08T10:40:00Z</cp:lastPrinted>
  <dcterms:created xsi:type="dcterms:W3CDTF">2026-05-28T07:35:00Z</dcterms:created>
  <dcterms:modified xsi:type="dcterms:W3CDTF">2026-05-28T07:35:00Z</dcterms:modified>
</cp:coreProperties>
</file>